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E2" w:rsidRDefault="00E941FC" w:rsidP="00E941FC">
      <w:pPr>
        <w:jc w:val="center"/>
        <w:rPr>
          <w:b/>
        </w:rPr>
      </w:pPr>
      <w:r>
        <w:rPr>
          <w:b/>
        </w:rPr>
        <w:t xml:space="preserve">MODEL PUBLIC RECORDS POLICY </w:t>
      </w:r>
      <w:r w:rsidRPr="00E941FC">
        <w:rPr>
          <w:b/>
        </w:rPr>
        <w:t>COMPLETION CHECKLIST</w:t>
      </w:r>
    </w:p>
    <w:p w:rsidR="00040030" w:rsidRPr="00040030" w:rsidRDefault="00040030" w:rsidP="00040030">
      <w:pPr>
        <w:jc w:val="center"/>
        <w:rPr>
          <w:rFonts w:cstheme="minorHAnsi"/>
          <w:i/>
          <w:u w:val="single"/>
        </w:rPr>
      </w:pPr>
      <w:r w:rsidRPr="00040030">
        <w:rPr>
          <w:i/>
          <w:u w:val="single"/>
        </w:rPr>
        <w:t>Before beginning we recommend reviewing the Policy Considerations attached to the Model Policy</w:t>
      </w:r>
    </w:p>
    <w:p w:rsidR="00E941FC" w:rsidRPr="00E941FC" w:rsidRDefault="00E941FC" w:rsidP="00E941FC">
      <w:pPr>
        <w:rPr>
          <w:rFonts w:cstheme="minorHAnsi"/>
        </w:rPr>
      </w:pPr>
      <w:r>
        <w:t xml:space="preserve">1. </w:t>
      </w:r>
      <w:r w:rsidR="00443CB6">
        <w:t>Title</w:t>
      </w:r>
      <w:r>
        <w:t xml:space="preserve"> – Enter name of governmental entity</w:t>
      </w:r>
      <w:r w:rsidR="00443CB6">
        <w:t xml:space="preserve"> (</w:t>
      </w:r>
      <w:r w:rsidR="0040081B">
        <w:t xml:space="preserve">the </w:t>
      </w:r>
      <w:r w:rsidR="00443CB6">
        <w:t>county legislative body should enter the name of the county and other entities if they adopt separate policies should enter their specific name</w:t>
      </w:r>
      <w:r w:rsidR="008D773B">
        <w:t xml:space="preserve"> (e.g., X County Register of Deeds Office</w:t>
      </w:r>
      <w:r w:rsidR="00443CB6">
        <w:t>)</w:t>
      </w:r>
      <w:r w:rsidR="008D773B">
        <w:t>).</w:t>
      </w:r>
      <w:r>
        <w:t xml:space="preserve"> </w:t>
      </w:r>
      <w:r w:rsidRPr="00E941FC">
        <w:rPr>
          <w:rFonts w:cstheme="minorHAnsi"/>
        </w:rPr>
        <w:t xml:space="preserve"> </w:t>
      </w:r>
    </w:p>
    <w:p w:rsidR="00E941FC" w:rsidRPr="00E941FC" w:rsidRDefault="00D46ED2" w:rsidP="00E941FC">
      <w:pPr>
        <w:rPr>
          <w:rFonts w:cstheme="minorHAnsi"/>
        </w:rPr>
      </w:pPr>
      <w:r>
        <w:rPr>
          <w:rFonts w:cstheme="minorHAnsi"/>
        </w:rPr>
        <w:t>Complete - ꙱</w:t>
      </w:r>
    </w:p>
    <w:p w:rsidR="00E941FC" w:rsidRDefault="00E941FC" w:rsidP="00E941FC">
      <w:pPr>
        <w:rPr>
          <w:rFonts w:cstheme="minorHAnsi"/>
        </w:rPr>
      </w:pPr>
      <w:r>
        <w:rPr>
          <w:rFonts w:cstheme="minorHAnsi"/>
        </w:rPr>
        <w:t>2. First Paragraph – Enter name of governmental entity and governing authority</w:t>
      </w:r>
      <w:r w:rsidR="00336DCF">
        <w:rPr>
          <w:rFonts w:cstheme="minorHAnsi"/>
        </w:rPr>
        <w:t>. U</w:t>
      </w:r>
      <w:r>
        <w:rPr>
          <w:rFonts w:cstheme="minorHAnsi"/>
        </w:rPr>
        <w:t xml:space="preserve">sually the governing authority will be the </w:t>
      </w:r>
      <w:r w:rsidR="00443CB6">
        <w:rPr>
          <w:rFonts w:cstheme="minorHAnsi"/>
        </w:rPr>
        <w:t xml:space="preserve">primary </w:t>
      </w:r>
      <w:r>
        <w:rPr>
          <w:rFonts w:cstheme="minorHAnsi"/>
        </w:rPr>
        <w:t>voting body</w:t>
      </w:r>
      <w:r w:rsidR="00443CB6">
        <w:rPr>
          <w:rFonts w:cstheme="minorHAnsi"/>
        </w:rPr>
        <w:t xml:space="preserve"> of the entity</w:t>
      </w:r>
      <w:r>
        <w:rPr>
          <w:rFonts w:cstheme="minorHAnsi"/>
        </w:rPr>
        <w:t xml:space="preserve"> but </w:t>
      </w:r>
      <w:r w:rsidR="00C363AE">
        <w:rPr>
          <w:rFonts w:cstheme="minorHAnsi"/>
        </w:rPr>
        <w:t>would</w:t>
      </w:r>
      <w:r>
        <w:rPr>
          <w:rFonts w:cstheme="minorHAnsi"/>
        </w:rPr>
        <w:t xml:space="preserve"> be an individua</w:t>
      </w:r>
      <w:r w:rsidR="00443CB6">
        <w:rPr>
          <w:rFonts w:cstheme="minorHAnsi"/>
        </w:rPr>
        <w:t>l if the entit</w:t>
      </w:r>
      <w:r w:rsidR="00C363AE">
        <w:rPr>
          <w:rFonts w:cstheme="minorHAnsi"/>
        </w:rPr>
        <w:t xml:space="preserve">y lacks a governing body </w:t>
      </w:r>
      <w:r w:rsidR="00EF0A2C">
        <w:rPr>
          <w:rFonts w:cstheme="minorHAnsi"/>
        </w:rPr>
        <w:t xml:space="preserve">(e.g., X County </w:t>
      </w:r>
      <w:r w:rsidR="00C363AE">
        <w:rPr>
          <w:rFonts w:cstheme="minorHAnsi"/>
        </w:rPr>
        <w:t>Register of Deeds</w:t>
      </w:r>
      <w:r>
        <w:rPr>
          <w:rFonts w:cstheme="minorHAnsi"/>
        </w:rPr>
        <w:t xml:space="preserve">). </w:t>
      </w:r>
    </w:p>
    <w:p w:rsidR="00E941FC" w:rsidRDefault="00E941FC" w:rsidP="00E941FC">
      <w:pPr>
        <w:rPr>
          <w:rFonts w:cstheme="minorHAnsi"/>
        </w:rPr>
      </w:pPr>
      <w:r>
        <w:rPr>
          <w:rFonts w:cstheme="minorHAnsi"/>
        </w:rPr>
        <w:t xml:space="preserve"> </w:t>
      </w:r>
      <w:r w:rsidR="00D46ED2">
        <w:rPr>
          <w:rFonts w:cstheme="minorHAnsi"/>
        </w:rPr>
        <w:t>Complete - ꙱</w:t>
      </w:r>
    </w:p>
    <w:p w:rsidR="00E941FC" w:rsidRDefault="00E941FC" w:rsidP="00E941FC">
      <w:pPr>
        <w:rPr>
          <w:rFonts w:cstheme="minorHAnsi"/>
        </w:rPr>
      </w:pPr>
      <w:r>
        <w:rPr>
          <w:rFonts w:cstheme="minorHAnsi"/>
        </w:rPr>
        <w:t xml:space="preserve">3. Second Paragraph - </w:t>
      </w:r>
      <w:r w:rsidRPr="00E941FC">
        <w:rPr>
          <w:rFonts w:cstheme="minorHAnsi"/>
        </w:rPr>
        <w:t>Enter name of governmental entity</w:t>
      </w:r>
      <w:r>
        <w:rPr>
          <w:rFonts w:cstheme="minorHAnsi"/>
        </w:rPr>
        <w:t>.</w:t>
      </w:r>
    </w:p>
    <w:p w:rsidR="00E941FC" w:rsidRDefault="00D46ED2" w:rsidP="00E941FC">
      <w:pPr>
        <w:rPr>
          <w:rFonts w:cstheme="minorHAnsi"/>
        </w:rPr>
      </w:pPr>
      <w:r>
        <w:rPr>
          <w:rFonts w:cstheme="minorHAnsi"/>
        </w:rPr>
        <w:t>Complete - ꙱</w:t>
      </w:r>
    </w:p>
    <w:p w:rsidR="00234C9B" w:rsidRDefault="00234C9B" w:rsidP="00E941FC">
      <w:pPr>
        <w:rPr>
          <w:rFonts w:cstheme="minorHAnsi"/>
        </w:rPr>
      </w:pPr>
      <w:r>
        <w:rPr>
          <w:rFonts w:cstheme="minorHAnsi"/>
        </w:rPr>
        <w:t>4. Third Paragraph – Ente</w:t>
      </w:r>
      <w:r w:rsidR="00443CB6">
        <w:rPr>
          <w:rFonts w:cstheme="minorHAnsi"/>
        </w:rPr>
        <w:t>r name of governmental entity in</w:t>
      </w:r>
      <w:r>
        <w:rPr>
          <w:rFonts w:cstheme="minorHAnsi"/>
        </w:rPr>
        <w:t xml:space="preserve"> the first sentence, third sentence and fourth sentence. </w:t>
      </w:r>
    </w:p>
    <w:p w:rsidR="00234C9B" w:rsidRDefault="00D46ED2" w:rsidP="00E941FC">
      <w:pPr>
        <w:rPr>
          <w:rFonts w:cstheme="minorHAnsi"/>
        </w:rPr>
      </w:pPr>
      <w:r>
        <w:rPr>
          <w:rFonts w:cstheme="minorHAnsi"/>
        </w:rPr>
        <w:t>Complete - ꙱</w:t>
      </w:r>
    </w:p>
    <w:p w:rsidR="00234C9B" w:rsidRDefault="00234C9B" w:rsidP="00E941FC">
      <w:pPr>
        <w:rPr>
          <w:rFonts w:cstheme="minorHAnsi"/>
        </w:rPr>
      </w:pPr>
      <w:r>
        <w:rPr>
          <w:rFonts w:cstheme="minorHAnsi"/>
        </w:rPr>
        <w:t xml:space="preserve">5. Fourth Paragraph – </w:t>
      </w:r>
      <w:r w:rsidR="00336DCF">
        <w:rPr>
          <w:rFonts w:cstheme="minorHAnsi"/>
        </w:rPr>
        <w:t>State</w:t>
      </w:r>
      <w:r>
        <w:rPr>
          <w:rFonts w:cstheme="minorHAnsi"/>
        </w:rPr>
        <w:t xml:space="preserve"> where the policy will be available for inspection</w:t>
      </w:r>
      <w:r w:rsidR="00336DCF">
        <w:rPr>
          <w:rFonts w:cstheme="minorHAnsi"/>
        </w:rPr>
        <w:t>. U</w:t>
      </w:r>
      <w:r>
        <w:rPr>
          <w:rFonts w:cstheme="minorHAnsi"/>
        </w:rPr>
        <w:t>sually similar policies for the entire county are kept in the county clerk’s office or if for an individual entity then in that entity’s</w:t>
      </w:r>
      <w:r w:rsidR="00336DCF">
        <w:rPr>
          <w:rFonts w:cstheme="minorHAnsi"/>
        </w:rPr>
        <w:t xml:space="preserve"> main office</w:t>
      </w:r>
      <w:r w:rsidR="00443CB6">
        <w:rPr>
          <w:rFonts w:cstheme="minorHAnsi"/>
        </w:rPr>
        <w:t xml:space="preserve"> location</w:t>
      </w:r>
      <w:r>
        <w:rPr>
          <w:rFonts w:cstheme="minorHAnsi"/>
        </w:rPr>
        <w:t xml:space="preserve">. </w:t>
      </w:r>
      <w:r w:rsidR="00336DCF">
        <w:rPr>
          <w:rFonts w:cstheme="minorHAnsi"/>
        </w:rPr>
        <w:t>State</w:t>
      </w:r>
      <w:r w:rsidRPr="00234C9B">
        <w:rPr>
          <w:rFonts w:cstheme="minorHAnsi"/>
        </w:rPr>
        <w:t xml:space="preserve"> where the policy will be </w:t>
      </w:r>
      <w:r w:rsidR="00336DCF">
        <w:rPr>
          <w:rFonts w:cstheme="minorHAnsi"/>
        </w:rPr>
        <w:t>posted online. If</w:t>
      </w:r>
      <w:r>
        <w:rPr>
          <w:rFonts w:cstheme="minorHAnsi"/>
        </w:rPr>
        <w:t xml:space="preserve"> the entity cannot post the policy online, it is recommended that the policy </w:t>
      </w:r>
      <w:r w:rsidR="00336DCF">
        <w:rPr>
          <w:rFonts w:cstheme="minorHAnsi"/>
        </w:rPr>
        <w:t xml:space="preserve">at least </w:t>
      </w:r>
      <w:r>
        <w:rPr>
          <w:rFonts w:cstheme="minorHAnsi"/>
        </w:rPr>
        <w:t xml:space="preserve">be posted at the courthouse or </w:t>
      </w:r>
      <w:r w:rsidR="00336DCF">
        <w:rPr>
          <w:rFonts w:cstheme="minorHAnsi"/>
        </w:rPr>
        <w:t>main office</w:t>
      </w:r>
      <w:r w:rsidRPr="00234C9B">
        <w:rPr>
          <w:rFonts w:cstheme="minorHAnsi"/>
        </w:rPr>
        <w:t xml:space="preserve">. </w:t>
      </w:r>
      <w:r w:rsidR="00336DCF">
        <w:rPr>
          <w:rFonts w:cstheme="minorHAnsi"/>
        </w:rPr>
        <w:t>State</w:t>
      </w:r>
      <w:r>
        <w:rPr>
          <w:rFonts w:cstheme="minorHAnsi"/>
        </w:rPr>
        <w:t xml:space="preserve"> how often the policy will be reviewed. </w:t>
      </w:r>
    </w:p>
    <w:p w:rsidR="00234C9B" w:rsidRDefault="00234C9B" w:rsidP="00E941FC">
      <w:pPr>
        <w:rPr>
          <w:rFonts w:cstheme="minorHAnsi"/>
        </w:rPr>
      </w:pPr>
      <w:r w:rsidRPr="00234C9B">
        <w:rPr>
          <w:rFonts w:cstheme="minorHAnsi"/>
        </w:rPr>
        <w:t>C</w:t>
      </w:r>
      <w:r w:rsidR="00D46ED2">
        <w:rPr>
          <w:rFonts w:cstheme="minorHAnsi"/>
        </w:rPr>
        <w:t>omplete - ꙱</w:t>
      </w:r>
    </w:p>
    <w:p w:rsidR="00C745FE" w:rsidRDefault="00336DCF" w:rsidP="00E941FC">
      <w:r>
        <w:t xml:space="preserve">6. Fifth Paragraph – </w:t>
      </w:r>
      <w:r w:rsidR="005369D7">
        <w:t>The county legislative body should state</w:t>
      </w:r>
      <w:r>
        <w:t xml:space="preserve"> which entities are </w:t>
      </w:r>
      <w:r w:rsidR="00443CB6">
        <w:t xml:space="preserve">not </w:t>
      </w:r>
      <w:r>
        <w:t xml:space="preserve">covered by the policy. The form resolution provided by CTAS provides that the policy adopted by the county legislative body applies to all county entities unless an entity adopts its own separate policy. It may be beneficial to indicate in this paragraph that a list of county entities with separate policies is attached to the model policy as an exhibit </w:t>
      </w:r>
      <w:r w:rsidR="00443CB6">
        <w:t xml:space="preserve">and provide that such exhibit </w:t>
      </w:r>
      <w:r>
        <w:t>will be updated if a county entity adopts a separate policy.</w:t>
      </w:r>
      <w:r w:rsidR="00504581">
        <w:t xml:space="preserve"> County entities adopting separate policies should state</w:t>
      </w:r>
      <w:r w:rsidR="005369D7">
        <w:t xml:space="preserve"> that the policy only applies to that entity. We recommend that county entities adopting separate policies</w:t>
      </w:r>
      <w:r w:rsidR="00504581">
        <w:t xml:space="preserve"> </w:t>
      </w:r>
      <w:r w:rsidR="005369D7">
        <w:t xml:space="preserve">file such policy </w:t>
      </w:r>
      <w:r w:rsidR="00504581">
        <w:t>with the county legislative body so that the</w:t>
      </w:r>
      <w:r w:rsidR="00443CB6">
        <w:t xml:space="preserve"> county legislative body’s exhibit</w:t>
      </w:r>
      <w:r w:rsidR="00504581">
        <w:t xml:space="preserve"> list may be updated. </w:t>
      </w:r>
    </w:p>
    <w:p w:rsidR="00C745FE" w:rsidRPr="00C745FE" w:rsidRDefault="00D46ED2" w:rsidP="00E941FC">
      <w:pPr>
        <w:rPr>
          <w:rFonts w:cstheme="minorHAnsi"/>
        </w:rPr>
      </w:pPr>
      <w:r>
        <w:rPr>
          <w:rFonts w:cstheme="minorHAnsi"/>
        </w:rPr>
        <w:t>Complete - ꙱</w:t>
      </w:r>
    </w:p>
    <w:p w:rsidR="00E941FC" w:rsidRDefault="00C745FE" w:rsidP="00E941FC">
      <w:r>
        <w:t>7.</w:t>
      </w:r>
      <w:r w:rsidR="00336DCF">
        <w:t xml:space="preserve"> </w:t>
      </w:r>
      <w:r>
        <w:t xml:space="preserve">Section II, A – State whether request may be submitted online </w:t>
      </w:r>
      <w:r w:rsidR="00082A90">
        <w:t xml:space="preserve">as opposed to (and in addition to) being submitted to the </w:t>
      </w:r>
      <w:proofErr w:type="spellStart"/>
      <w:r w:rsidR="00082A90">
        <w:t>PRRC</w:t>
      </w:r>
      <w:proofErr w:type="spellEnd"/>
      <w:r w:rsidR="00082A90">
        <w:t>.</w:t>
      </w:r>
    </w:p>
    <w:p w:rsidR="00C745FE" w:rsidRDefault="00C745FE" w:rsidP="00E941FC">
      <w:r w:rsidRPr="00C745FE">
        <w:t>Complete - ꙱</w:t>
      </w:r>
    </w:p>
    <w:p w:rsidR="00C363AE" w:rsidRDefault="00C363AE" w:rsidP="00E941FC"/>
    <w:p w:rsidR="00C745FE" w:rsidRDefault="00C745FE" w:rsidP="00E941FC">
      <w:r>
        <w:lastRenderedPageBreak/>
        <w:t>8. Section II, B – State what form</w:t>
      </w:r>
      <w:r w:rsidR="00082A90">
        <w:t>(s)</w:t>
      </w:r>
      <w:r>
        <w:t xml:space="preserve"> of contact information the </w:t>
      </w:r>
      <w:proofErr w:type="spellStart"/>
      <w:r>
        <w:t>PRRC</w:t>
      </w:r>
      <w:proofErr w:type="spellEnd"/>
      <w:r>
        <w:t xml:space="preserve"> should request for written communication.</w:t>
      </w:r>
    </w:p>
    <w:p w:rsidR="00C745FE" w:rsidRDefault="00D46ED2" w:rsidP="00E941FC">
      <w:r>
        <w:t>Complete - ꙱</w:t>
      </w:r>
    </w:p>
    <w:p w:rsidR="00C745FE" w:rsidRDefault="00036AE2" w:rsidP="00C745FE">
      <w:r>
        <w:t>9</w:t>
      </w:r>
      <w:r w:rsidR="00C745FE">
        <w:t xml:space="preserve">. Section II, C – State whether the </w:t>
      </w:r>
      <w:proofErr w:type="spellStart"/>
      <w:r w:rsidR="00C745FE">
        <w:t>OORC</w:t>
      </w:r>
      <w:proofErr w:type="spellEnd"/>
      <w:r w:rsidR="00C745FE">
        <w:t xml:space="preserve"> PUBLIC RECORDS REQUEST FORM sha</w:t>
      </w:r>
      <w:r>
        <w:t>ll be used for written request. We recommend use of the form</w:t>
      </w:r>
      <w:r w:rsidR="00C745FE">
        <w:t>.</w:t>
      </w:r>
      <w:r>
        <w:t xml:space="preserve"> If the</w:t>
      </w:r>
      <w:r w:rsidR="00C00604">
        <w:t xml:space="preserve"> form will be used then attach</w:t>
      </w:r>
      <w:r>
        <w:t xml:space="preserve"> the form.</w:t>
      </w:r>
      <w:r w:rsidR="00C745FE">
        <w:t xml:space="preserve"> </w:t>
      </w:r>
      <w:r>
        <w:t xml:space="preserve">PLEASE NOTE - a requestor cannot be forced to use the form if they only want to inspect records. State where request may be made and by what methods beyond in person, mail and phone (e.g., email). </w:t>
      </w:r>
    </w:p>
    <w:p w:rsidR="00C745FE" w:rsidRDefault="00C745FE" w:rsidP="00C745FE">
      <w:r w:rsidRPr="00C745FE">
        <w:t>Compl</w:t>
      </w:r>
      <w:r w:rsidR="00D46ED2">
        <w:t>ete - ꙱</w:t>
      </w:r>
    </w:p>
    <w:p w:rsidR="00036AE2" w:rsidRDefault="00036AE2" w:rsidP="00036AE2">
      <w:r>
        <w:t xml:space="preserve">10. Section II, D – </w:t>
      </w:r>
      <w:r w:rsidRPr="00036AE2">
        <w:t xml:space="preserve">State whether </w:t>
      </w:r>
      <w:r>
        <w:t>a re</w:t>
      </w:r>
      <w:r w:rsidR="005369D7">
        <w:t>quest for copies must be</w:t>
      </w:r>
      <w:r>
        <w:t xml:space="preserve"> in writing and</w:t>
      </w:r>
      <w:r w:rsidR="008D773B">
        <w:t>,</w:t>
      </w:r>
      <w:r>
        <w:t xml:space="preserve"> if so</w:t>
      </w:r>
      <w:r w:rsidR="008D773B">
        <w:t>,</w:t>
      </w:r>
      <w:r>
        <w:t xml:space="preserve"> whether </w:t>
      </w:r>
      <w:r w:rsidRPr="00036AE2">
        <w:t xml:space="preserve">the </w:t>
      </w:r>
      <w:proofErr w:type="spellStart"/>
      <w:r w:rsidRPr="00036AE2">
        <w:t>OORC</w:t>
      </w:r>
      <w:proofErr w:type="spellEnd"/>
      <w:r w:rsidRPr="00036AE2">
        <w:t xml:space="preserve"> PUBLIC RECORDS REQUEST FORM shall be used. We</w:t>
      </w:r>
      <w:r w:rsidR="005369D7">
        <w:t xml:space="preserve"> recommend use of the form. If the </w:t>
      </w:r>
      <w:proofErr w:type="spellStart"/>
      <w:r w:rsidR="005369D7">
        <w:t>OORC</w:t>
      </w:r>
      <w:proofErr w:type="spellEnd"/>
      <w:r w:rsidR="004005A4">
        <w:t xml:space="preserve"> form</w:t>
      </w:r>
      <w:r w:rsidR="005369D7">
        <w:t xml:space="preserve"> or another form</w:t>
      </w:r>
      <w:r w:rsidR="004005A4">
        <w:t xml:space="preserve"> will be used then attach</w:t>
      </w:r>
      <w:r w:rsidRPr="00036AE2">
        <w:t xml:space="preserve"> the form</w:t>
      </w:r>
      <w:r w:rsidR="00712852">
        <w:t xml:space="preserve"> (if not previously attached)</w:t>
      </w:r>
      <w:r w:rsidRPr="00036AE2">
        <w:t xml:space="preserve">. State where request may be made </w:t>
      </w:r>
      <w:r>
        <w:t xml:space="preserve">and by what methods beyond in person and mail </w:t>
      </w:r>
      <w:r w:rsidRPr="00036AE2">
        <w:t>(e.g., email).</w:t>
      </w:r>
    </w:p>
    <w:p w:rsidR="00036AE2" w:rsidRPr="00E941FC" w:rsidRDefault="00D46ED2" w:rsidP="00036AE2">
      <w:r>
        <w:t>Complete - ꙱</w:t>
      </w:r>
    </w:p>
    <w:p w:rsidR="00036AE2" w:rsidRDefault="00036AE2" w:rsidP="00036AE2">
      <w:r>
        <w:t xml:space="preserve">11. Section II, </w:t>
      </w:r>
      <w:r w:rsidR="002A44FA">
        <w:t>E</w:t>
      </w:r>
      <w:r>
        <w:t xml:space="preserve"> – State whether </w:t>
      </w:r>
      <w:r w:rsidR="002A44FA">
        <w:t>proof of Tennessee citizenship will be required. If so, state what acceptable alternative forms of ID are acceptable (e.g., p</w:t>
      </w:r>
      <w:r w:rsidR="002A44FA" w:rsidRPr="002A44FA">
        <w:t>hoto ID issued by the federal or Tennessee state government</w:t>
      </w:r>
      <w:r w:rsidR="002A44FA">
        <w:t xml:space="preserve"> which contains a residential address).</w:t>
      </w:r>
    </w:p>
    <w:p w:rsidR="00C745FE" w:rsidRDefault="00D46ED2" w:rsidP="00036AE2">
      <w:r>
        <w:t>Complete - ꙱</w:t>
      </w:r>
    </w:p>
    <w:p w:rsidR="002A44FA" w:rsidRDefault="00C3422B" w:rsidP="002A44FA">
      <w:r>
        <w:t>12. Section II, F – If applicable, state</w:t>
      </w:r>
      <w:r w:rsidR="002A44FA">
        <w:t xml:space="preserve"> whether any commonly requested records are posted and readily available without needing to submit a request (e.g., county leg</w:t>
      </w:r>
      <w:r w:rsidR="00082A90">
        <w:t xml:space="preserve">islative body meeting dates </w:t>
      </w:r>
      <w:r>
        <w:t xml:space="preserve">posted at the courthouse) and any guidelines about posting records online. </w:t>
      </w:r>
    </w:p>
    <w:p w:rsidR="002A44FA" w:rsidRDefault="00D46ED2" w:rsidP="002A44FA">
      <w:r>
        <w:t>Complete - ꙱</w:t>
      </w:r>
    </w:p>
    <w:p w:rsidR="00E42C18" w:rsidRDefault="00E42C18" w:rsidP="00E42C18">
      <w:r>
        <w:t xml:space="preserve">13. Section III, </w:t>
      </w:r>
      <w:proofErr w:type="spellStart"/>
      <w:r>
        <w:t>A.2.d</w:t>
      </w:r>
      <w:proofErr w:type="spellEnd"/>
      <w:r>
        <w:t xml:space="preserve"> – </w:t>
      </w:r>
      <w:r w:rsidRPr="00E42C18">
        <w:t>Enter name of governmental entity</w:t>
      </w:r>
      <w:r w:rsidR="00F1328E">
        <w:t>.</w:t>
      </w:r>
    </w:p>
    <w:p w:rsidR="00E42C18" w:rsidRDefault="00D46ED2" w:rsidP="00E42C18">
      <w:r>
        <w:t>Complete - ꙱</w:t>
      </w:r>
    </w:p>
    <w:p w:rsidR="00E42C18" w:rsidRDefault="00E42C18" w:rsidP="00E42C18">
      <w:r>
        <w:t xml:space="preserve">14. Section III, </w:t>
      </w:r>
      <w:proofErr w:type="spellStart"/>
      <w:r>
        <w:t>A.3.a</w:t>
      </w:r>
      <w:proofErr w:type="spellEnd"/>
      <w:r>
        <w:t xml:space="preserve"> – Enter name(s) or title(s) of </w:t>
      </w:r>
      <w:proofErr w:type="spellStart"/>
      <w:r>
        <w:t>PRRC</w:t>
      </w:r>
      <w:proofErr w:type="spellEnd"/>
      <w:r>
        <w:t xml:space="preserve">(s). We recommend title(s) be used so the policy does not have to be updated due to personnel changes. </w:t>
      </w:r>
    </w:p>
    <w:p w:rsidR="00E42C18" w:rsidRDefault="00D46ED2" w:rsidP="00E42C18">
      <w:r>
        <w:t>Complete - ꙱</w:t>
      </w:r>
    </w:p>
    <w:p w:rsidR="00E42C18" w:rsidRDefault="00443CB6" w:rsidP="00E42C18">
      <w:r>
        <w:t>15</w:t>
      </w:r>
      <w:r w:rsidR="00E42C18">
        <w:t xml:space="preserve">. Section III, </w:t>
      </w:r>
      <w:proofErr w:type="spellStart"/>
      <w:r w:rsidR="00E42C18">
        <w:t>A.3.b</w:t>
      </w:r>
      <w:proofErr w:type="spellEnd"/>
      <w:r w:rsidR="00E42C18">
        <w:t xml:space="preserve"> – Enter contact information for </w:t>
      </w:r>
      <w:proofErr w:type="spellStart"/>
      <w:r w:rsidR="00E42C18">
        <w:t>PRRC</w:t>
      </w:r>
      <w:proofErr w:type="spellEnd"/>
      <w:r w:rsidR="00E42C18">
        <w:t xml:space="preserve">(s). </w:t>
      </w:r>
    </w:p>
    <w:p w:rsidR="00E42C18" w:rsidRDefault="00D46ED2" w:rsidP="00E42C18">
      <w:r>
        <w:t>Complete - ꙱</w:t>
      </w:r>
    </w:p>
    <w:p w:rsidR="00447993" w:rsidRDefault="00FF61C0" w:rsidP="00447993">
      <w:r>
        <w:t>16</w:t>
      </w:r>
      <w:r w:rsidR="00447993">
        <w:t xml:space="preserve">. Section III, </w:t>
      </w:r>
      <w:proofErr w:type="spellStart"/>
      <w:r w:rsidR="00447993">
        <w:t>A.4</w:t>
      </w:r>
      <w:proofErr w:type="spellEnd"/>
      <w:r w:rsidR="00447993">
        <w:t xml:space="preserve"> – State whether and how often the </w:t>
      </w:r>
      <w:proofErr w:type="spellStart"/>
      <w:r w:rsidR="00447993">
        <w:t>PRRC</w:t>
      </w:r>
      <w:proofErr w:type="spellEnd"/>
      <w:r w:rsidR="00447993">
        <w:t xml:space="preserve">(s) will report to the governing authority relative to the operation of the policy. </w:t>
      </w:r>
    </w:p>
    <w:p w:rsidR="00447993" w:rsidRDefault="00447993" w:rsidP="00E42C18">
      <w:r>
        <w:t>Complete - ꙱</w:t>
      </w:r>
    </w:p>
    <w:p w:rsidR="00E42C18" w:rsidRDefault="00FF61C0" w:rsidP="00E42C18">
      <w:r>
        <w:t>17</w:t>
      </w:r>
      <w:r w:rsidR="00E42C18">
        <w:t xml:space="preserve">. Section III, </w:t>
      </w:r>
      <w:proofErr w:type="spellStart"/>
      <w:r w:rsidR="00E42C18">
        <w:t>B.2</w:t>
      </w:r>
      <w:proofErr w:type="spellEnd"/>
      <w:r w:rsidR="00E42C18">
        <w:t xml:space="preserve"> – State that the </w:t>
      </w:r>
      <w:proofErr w:type="spellStart"/>
      <w:r w:rsidR="004005A4">
        <w:t>OORC</w:t>
      </w:r>
      <w:proofErr w:type="spellEnd"/>
      <w:r w:rsidR="004005A4">
        <w:t xml:space="preserve"> PUBLIC RECORDS REQUEST RESPONSE FORM is attached and attach</w:t>
      </w:r>
      <w:r w:rsidR="003F2373">
        <w:t xml:space="preserve"> the</w:t>
      </w:r>
      <w:r w:rsidR="004005A4">
        <w:t xml:space="preserve"> form.</w:t>
      </w:r>
      <w:r w:rsidR="00E42C18">
        <w:t xml:space="preserve"> </w:t>
      </w:r>
    </w:p>
    <w:p w:rsidR="00E42C18" w:rsidRDefault="00D46ED2" w:rsidP="00E42C18">
      <w:r>
        <w:t>Complete - ꙱</w:t>
      </w:r>
    </w:p>
    <w:p w:rsidR="00447993" w:rsidRDefault="00FF61C0" w:rsidP="00447993">
      <w:r>
        <w:lastRenderedPageBreak/>
        <w:t>18</w:t>
      </w:r>
      <w:r w:rsidR="00447993">
        <w:t xml:space="preserve">. Section III, </w:t>
      </w:r>
      <w:proofErr w:type="spellStart"/>
      <w:r w:rsidR="00447993">
        <w:t>B.3</w:t>
      </w:r>
      <w:proofErr w:type="spellEnd"/>
      <w:r w:rsidR="00447993">
        <w:t xml:space="preserve"> – Delete the language relative to the </w:t>
      </w:r>
      <w:proofErr w:type="spellStart"/>
      <w:r w:rsidR="00447993">
        <w:t>OORC</w:t>
      </w:r>
      <w:proofErr w:type="spellEnd"/>
      <w:r w:rsidR="00447993">
        <w:t xml:space="preserve"> PUBLIC RECORDS REQUEST RESPONSE FORM if the form will not be used for denials. We recommend use of the form. If the form will be used then no deletion is necessary. </w:t>
      </w:r>
    </w:p>
    <w:p w:rsidR="00447993" w:rsidRDefault="00447993" w:rsidP="00E42C18">
      <w:r>
        <w:t>Complete - ꙱</w:t>
      </w:r>
    </w:p>
    <w:p w:rsidR="003F2373" w:rsidRDefault="00FF61C0" w:rsidP="003F2373">
      <w:r>
        <w:t>19</w:t>
      </w:r>
      <w:r w:rsidR="003F2373">
        <w:t xml:space="preserve">. Section III, </w:t>
      </w:r>
      <w:proofErr w:type="spellStart"/>
      <w:r w:rsidR="003F2373">
        <w:t>C.1</w:t>
      </w:r>
      <w:proofErr w:type="spellEnd"/>
      <w:r w:rsidR="003F2373">
        <w:t xml:space="preserve"> – Delete bracketed language relative to state agencies also being able to consult with the</w:t>
      </w:r>
      <w:r w:rsidR="00D46ED2">
        <w:t xml:space="preserve"> Office of the Attorney General.</w:t>
      </w:r>
    </w:p>
    <w:p w:rsidR="00FE2EC1" w:rsidRDefault="00D46ED2" w:rsidP="003F2373">
      <w:r>
        <w:t>Complete - ꙱</w:t>
      </w:r>
    </w:p>
    <w:p w:rsidR="003F2373" w:rsidRDefault="00FF61C0" w:rsidP="003F2373">
      <w:r>
        <w:t>20</w:t>
      </w:r>
      <w:r w:rsidR="003F2373">
        <w:t xml:space="preserve">. Section IV, A – County entities cannot charge for inspecting records. Thus, the bracketed language </w:t>
      </w:r>
      <w:r w:rsidR="00F1328E">
        <w:t>may</w:t>
      </w:r>
      <w:r w:rsidR="003F2373">
        <w:t xml:space="preserve"> be</w:t>
      </w:r>
      <w:r w:rsidR="00F1328E">
        <w:t xml:space="preserve"> deleted or</w:t>
      </w:r>
      <w:r w:rsidR="00712852">
        <w:t>,</w:t>
      </w:r>
      <w:r w:rsidR="00F1328E">
        <w:t xml:space="preserve"> </w:t>
      </w:r>
      <w:r w:rsidR="00712852">
        <w:t>alternatively, state</w:t>
      </w:r>
      <w:r w:rsidR="00F1328E">
        <w:t xml:space="preserve"> that individuals cannot be charged for inspection unless specifically authorized by law. </w:t>
      </w:r>
    </w:p>
    <w:p w:rsidR="003F2373" w:rsidRDefault="00D46ED2" w:rsidP="003F2373">
      <w:r>
        <w:t>Complete - ꙱</w:t>
      </w:r>
    </w:p>
    <w:p w:rsidR="00F1328E" w:rsidRDefault="00FF61C0" w:rsidP="00F1328E">
      <w:r>
        <w:t>21</w:t>
      </w:r>
      <w:r w:rsidR="00F1328E">
        <w:t xml:space="preserve">. Section IV, B – </w:t>
      </w:r>
      <w:r w:rsidR="00F1328E" w:rsidRPr="00F1328E">
        <w:t>Enter name of governmental entity</w:t>
      </w:r>
      <w:r w:rsidR="00F1328E">
        <w:t>.</w:t>
      </w:r>
    </w:p>
    <w:p w:rsidR="00F1328E" w:rsidRDefault="00D46ED2" w:rsidP="00F1328E">
      <w:r>
        <w:t>Complete - ꙱</w:t>
      </w:r>
    </w:p>
    <w:p w:rsidR="009145D3" w:rsidRDefault="00FF61C0" w:rsidP="009145D3">
      <w:r>
        <w:t>22</w:t>
      </w:r>
      <w:r w:rsidR="009145D3">
        <w:t>. Section IV, C – Bracketed language provides that appointment requirements and hours of inspection should be described. If included, those should be described here, however, it may be beneficial to delete the bracketed language as we do not recommend per se appointment requirements or per se limited hours of inspection</w:t>
      </w:r>
      <w:r w:rsidR="006C4DBB">
        <w:t xml:space="preserve"> applicable to all county entities</w:t>
      </w:r>
      <w:r w:rsidR="009145D3">
        <w:t>.</w:t>
      </w:r>
    </w:p>
    <w:p w:rsidR="009145D3" w:rsidRDefault="00D46ED2" w:rsidP="009145D3">
      <w:r>
        <w:t>Complete - ꙱</w:t>
      </w:r>
    </w:p>
    <w:p w:rsidR="009145D3" w:rsidRDefault="00FF61C0" w:rsidP="009145D3">
      <w:r>
        <w:t>23</w:t>
      </w:r>
      <w:r w:rsidR="009145D3">
        <w:t xml:space="preserve">. Section V, B – Bracketed language provides for an option to state a specific place to pick up records. If a specific place to pick up records request is selected it should be stated here. If </w:t>
      </w:r>
      <w:r w:rsidR="00750C89">
        <w:t xml:space="preserve">records will be picked up at a location specified by the records custodian then the bracketed language should be deleted. </w:t>
      </w:r>
    </w:p>
    <w:p w:rsidR="009145D3" w:rsidRDefault="00D46ED2" w:rsidP="009145D3">
      <w:r>
        <w:t>Complete - ꙱</w:t>
      </w:r>
    </w:p>
    <w:p w:rsidR="00750C89" w:rsidRDefault="00FF61C0" w:rsidP="00750C89">
      <w:r>
        <w:t>24</w:t>
      </w:r>
      <w:r w:rsidR="00750C89">
        <w:t xml:space="preserve">. Section V, C – State additional permitted means of delivery (e.g., email). </w:t>
      </w:r>
    </w:p>
    <w:p w:rsidR="00750C89" w:rsidRDefault="00D46ED2" w:rsidP="00750C89">
      <w:r>
        <w:t>Complete - ꙱</w:t>
      </w:r>
    </w:p>
    <w:p w:rsidR="00750C89" w:rsidRDefault="00FF61C0" w:rsidP="00750C89">
      <w:r>
        <w:t>25</w:t>
      </w:r>
      <w:r w:rsidR="00750C89">
        <w:t>. Section V, D – State whether a requestor will be allowed to make copies with their own personal equipment and</w:t>
      </w:r>
      <w:r w:rsidR="00712852">
        <w:t>,</w:t>
      </w:r>
      <w:r w:rsidR="00750C89">
        <w:t xml:space="preserve"> if so</w:t>
      </w:r>
      <w:r w:rsidR="00712852">
        <w:t>,</w:t>
      </w:r>
      <w:r w:rsidR="00750C89">
        <w:t xml:space="preserve"> under what circumstances. </w:t>
      </w:r>
    </w:p>
    <w:p w:rsidR="00750C89" w:rsidRDefault="00D46ED2" w:rsidP="00750C89">
      <w:r>
        <w:t>Complete - ꙱</w:t>
      </w:r>
    </w:p>
    <w:p w:rsidR="00750C89" w:rsidRDefault="00FF61C0" w:rsidP="00750C89">
      <w:r>
        <w:t>26</w:t>
      </w:r>
      <w:r w:rsidR="00750C89">
        <w:t>. Section VI, A – Bracketed language provides for circumstances u</w:t>
      </w:r>
      <w:r w:rsidR="008E4534">
        <w:t>nder which fees shall be charged or not charged</w:t>
      </w:r>
      <w:r w:rsidR="00750C89">
        <w:t>. If fees will not be charged for reasons not described in Section VI,</w:t>
      </w:r>
      <w:r w:rsidR="002E3F84">
        <w:t xml:space="preserve"> C or Section VI, E then those circumstances should be described here. Otherwise, the bracketed information should be deleted. </w:t>
      </w:r>
      <w:r w:rsidR="00750C89">
        <w:t xml:space="preserve"> </w:t>
      </w:r>
    </w:p>
    <w:p w:rsidR="00750C89" w:rsidRDefault="00D46ED2" w:rsidP="00750C89">
      <w:r>
        <w:t>Complete - ꙱</w:t>
      </w:r>
    </w:p>
    <w:p w:rsidR="006E6BCF" w:rsidRDefault="006E6BCF" w:rsidP="002E3F84"/>
    <w:p w:rsidR="002E3F84" w:rsidRDefault="00FF61C0" w:rsidP="002E3F84">
      <w:bookmarkStart w:id="0" w:name="_GoBack"/>
      <w:bookmarkEnd w:id="0"/>
      <w:r>
        <w:lastRenderedPageBreak/>
        <w:t>27</w:t>
      </w:r>
      <w:r w:rsidR="002E3F84">
        <w:t xml:space="preserve">. Section VI, B – Bracketed language provides for the description of any itemized cost estimate form to be used. If the entity does not have its own form then the bracketed language should be deleted. </w:t>
      </w:r>
      <w:r w:rsidR="00C00604">
        <w:t xml:space="preserve">To our knowledge the </w:t>
      </w:r>
      <w:proofErr w:type="spellStart"/>
      <w:r w:rsidR="002E3F84">
        <w:t>OORC</w:t>
      </w:r>
      <w:proofErr w:type="spellEnd"/>
      <w:r w:rsidR="002E3F84">
        <w:t xml:space="preserve"> </w:t>
      </w:r>
      <w:r w:rsidR="00C00604">
        <w:t>has not published</w:t>
      </w:r>
      <w:r w:rsidR="002E3F84">
        <w:t xml:space="preserve"> an itemized cost estimate form. </w:t>
      </w:r>
    </w:p>
    <w:p w:rsidR="002E3F84" w:rsidRDefault="00D46ED2" w:rsidP="002E3F84">
      <w:r>
        <w:t>Complete - ꙱</w:t>
      </w:r>
    </w:p>
    <w:p w:rsidR="002E3F84" w:rsidRDefault="00FF61C0" w:rsidP="002E3F84">
      <w:r>
        <w:t>28</w:t>
      </w:r>
      <w:r w:rsidR="002E3F84">
        <w:t xml:space="preserve">. Section VI, C – State the amount, if any, of fees for copies or labor that may be waived and under what circumstance such fees may be waived. </w:t>
      </w:r>
    </w:p>
    <w:p w:rsidR="002E3F84" w:rsidRDefault="00D46ED2" w:rsidP="002E3F84">
      <w:r>
        <w:t>Complete - ꙱</w:t>
      </w:r>
    </w:p>
    <w:p w:rsidR="00611FFA" w:rsidRDefault="00FF61C0" w:rsidP="00611FFA">
      <w:r>
        <w:t>29</w:t>
      </w:r>
      <w:r w:rsidR="00611FFA">
        <w:t>. Section VI, D – I</w:t>
      </w:r>
      <w:r w:rsidR="00A66B26">
        <w:t xml:space="preserve">f amounts higher than the </w:t>
      </w:r>
      <w:proofErr w:type="spellStart"/>
      <w:r w:rsidR="00A66B26">
        <w:t>OORC</w:t>
      </w:r>
      <w:proofErr w:type="spellEnd"/>
      <w:r w:rsidR="00A66B26">
        <w:t xml:space="preserve"> S</w:t>
      </w:r>
      <w:r w:rsidR="00611FFA">
        <w:t>chedule</w:t>
      </w:r>
      <w:r w:rsidR="00122AC5">
        <w:t xml:space="preserve"> of Reasonable Charges will be charged</w:t>
      </w:r>
      <w:r w:rsidR="00C00604">
        <w:t xml:space="preserve"> then attach</w:t>
      </w:r>
      <w:r w:rsidR="00611FFA">
        <w:t xml:space="preserve"> documentation</w:t>
      </w:r>
      <w:r w:rsidR="00712852">
        <w:t xml:space="preserve"> for such costs</w:t>
      </w:r>
      <w:r w:rsidR="00611FFA">
        <w:t xml:space="preserve">.  </w:t>
      </w:r>
    </w:p>
    <w:p w:rsidR="00611FFA" w:rsidRDefault="00D46ED2" w:rsidP="00611FFA">
      <w:r>
        <w:t>Complete - ꙱</w:t>
      </w:r>
    </w:p>
    <w:p w:rsidR="00611FFA" w:rsidRDefault="00FF61C0" w:rsidP="00611FFA">
      <w:r>
        <w:t>30</w:t>
      </w:r>
      <w:r w:rsidR="00611FFA">
        <w:t xml:space="preserve">. Section VI, </w:t>
      </w:r>
      <w:proofErr w:type="spellStart"/>
      <w:r w:rsidR="00611FFA">
        <w:t>D.3</w:t>
      </w:r>
      <w:proofErr w:type="spellEnd"/>
      <w:r w:rsidR="00611FFA">
        <w:t xml:space="preserve"> – State other charges for copies besides the standard $0.15 for black and white and $0.50 for color. We recommend indicating and clarifying here that offices with specific statutory copy</w:t>
      </w:r>
      <w:r w:rsidR="003A350D">
        <w:t xml:space="preserve"> or document</w:t>
      </w:r>
      <w:r w:rsidR="00611FFA">
        <w:t xml:space="preserve"> charges may charge according to those statutes (e.g., court clerks per Tenn. Code Ann. §</w:t>
      </w:r>
      <w:r w:rsidR="00611FFA" w:rsidRPr="00611FFA">
        <w:t xml:space="preserve"> 8-21-401</w:t>
      </w:r>
      <w:r w:rsidR="003A350D">
        <w:t>, county c</w:t>
      </w:r>
      <w:r w:rsidR="00611FFA">
        <w:t>lerks per</w:t>
      </w:r>
      <w:r w:rsidR="00611FFA" w:rsidRPr="00611FFA">
        <w:t xml:space="preserve"> Tenn. Code Ann. § 8-21-701</w:t>
      </w:r>
      <w:r w:rsidR="003A350D">
        <w:t>, r</w:t>
      </w:r>
      <w:r w:rsidR="00611FFA">
        <w:t>egisters</w:t>
      </w:r>
      <w:r w:rsidR="003A350D">
        <w:t xml:space="preserve"> of d</w:t>
      </w:r>
      <w:r w:rsidR="00611FFA">
        <w:t xml:space="preserve">eeds per </w:t>
      </w:r>
      <w:r w:rsidR="00611FFA" w:rsidRPr="00611FFA">
        <w:t>Tenn. Code Ann. § 8-21-1001</w:t>
      </w:r>
      <w:r w:rsidR="00611FFA">
        <w:t xml:space="preserve">). </w:t>
      </w:r>
    </w:p>
    <w:p w:rsidR="00611FFA" w:rsidRDefault="00D46ED2" w:rsidP="00611FFA">
      <w:r>
        <w:t>Complete - ꙱</w:t>
      </w:r>
    </w:p>
    <w:p w:rsidR="003A350D" w:rsidRDefault="00FF61C0" w:rsidP="003A350D">
      <w:r>
        <w:t>31</w:t>
      </w:r>
      <w:r w:rsidR="003A350D">
        <w:t xml:space="preserve">. Section VI, </w:t>
      </w:r>
      <w:proofErr w:type="spellStart"/>
      <w:r w:rsidR="003A350D">
        <w:t>D.4</w:t>
      </w:r>
      <w:proofErr w:type="spellEnd"/>
      <w:r w:rsidR="003A350D">
        <w:t xml:space="preserve"> – State time after which labor costs will be </w:t>
      </w:r>
      <w:r w:rsidR="00122AC5">
        <w:t>charged</w:t>
      </w:r>
      <w:r w:rsidR="003A350D">
        <w:t xml:space="preserve"> (minimum of 1 hour must be provided without costs).</w:t>
      </w:r>
    </w:p>
    <w:p w:rsidR="003A350D" w:rsidRDefault="00D46ED2" w:rsidP="003A350D">
      <w:r>
        <w:t>Complete - ꙱</w:t>
      </w:r>
    </w:p>
    <w:p w:rsidR="000C7F11" w:rsidRDefault="00FF61C0" w:rsidP="000C7F11">
      <w:r>
        <w:t>32</w:t>
      </w:r>
      <w:r w:rsidR="000C7F11">
        <w:t xml:space="preserve">. Section VI, E – </w:t>
      </w:r>
      <w:r w:rsidR="000C7F11" w:rsidRPr="000C7F11">
        <w:t xml:space="preserve">State </w:t>
      </w:r>
      <w:r w:rsidR="000C7F11">
        <w:t>the circumstances</w:t>
      </w:r>
      <w:r w:rsidR="000C7F11" w:rsidRPr="000C7F11">
        <w:t xml:space="preserve">, if any, </w:t>
      </w:r>
      <w:r w:rsidR="000C7F11">
        <w:t xml:space="preserve">under which no fees shall be charged (e.g., </w:t>
      </w:r>
      <w:r w:rsidR="00122AC5">
        <w:t>copy request of less than X pages that require no redaction</w:t>
      </w:r>
      <w:r w:rsidR="000C7F11">
        <w:t>)</w:t>
      </w:r>
      <w:r w:rsidR="000C7F11" w:rsidRPr="000C7F11">
        <w:t>.</w:t>
      </w:r>
    </w:p>
    <w:p w:rsidR="000C7F11" w:rsidRDefault="00D46ED2" w:rsidP="000C7F11">
      <w:r>
        <w:t>Complete - ꙱</w:t>
      </w:r>
    </w:p>
    <w:p w:rsidR="000C7F11" w:rsidRDefault="00FF61C0" w:rsidP="000C7F11">
      <w:r>
        <w:t>33</w:t>
      </w:r>
      <w:r w:rsidR="000C7F11">
        <w:t xml:space="preserve">. Section VI, F – Describe how </w:t>
      </w:r>
      <w:r w:rsidR="00712852">
        <w:t>payment</w:t>
      </w:r>
      <w:r w:rsidR="000C7F11">
        <w:t xml:space="preserve"> s</w:t>
      </w:r>
      <w:r w:rsidR="00265D7B">
        <w:t>hall be made. We recomm</w:t>
      </w:r>
      <w:r w:rsidR="00712852">
        <w:t>end that the methods of payment</w:t>
      </w:r>
      <w:r w:rsidR="00265D7B">
        <w:t xml:space="preserve"> be as broad as the entity accepts under other</w:t>
      </w:r>
      <w:r w:rsidR="00712852">
        <w:t xml:space="preserve"> similar</w:t>
      </w:r>
      <w:r w:rsidR="00265D7B">
        <w:t xml:space="preserve"> circumstances.</w:t>
      </w:r>
    </w:p>
    <w:p w:rsidR="000C7F11" w:rsidRDefault="00D46ED2" w:rsidP="000C7F11">
      <w:r>
        <w:t>Complete - ꙱</w:t>
      </w:r>
    </w:p>
    <w:p w:rsidR="00265D7B" w:rsidRDefault="00FF61C0" w:rsidP="00265D7B">
      <w:r>
        <w:t>34</w:t>
      </w:r>
      <w:r w:rsidR="00265D7B">
        <w:t>. Section VI, G – Describe when payment in advance will be required (e.g., if estimate is over $X amount)</w:t>
      </w:r>
      <w:r w:rsidR="00712852">
        <w:t>.</w:t>
      </w:r>
    </w:p>
    <w:p w:rsidR="00265D7B" w:rsidRDefault="00D46ED2" w:rsidP="00265D7B">
      <w:r>
        <w:t>Complete - ꙱</w:t>
      </w:r>
    </w:p>
    <w:p w:rsidR="00265D7B" w:rsidRDefault="00FF61C0" w:rsidP="00265D7B">
      <w:r>
        <w:t>35</w:t>
      </w:r>
      <w:r w:rsidR="00265D7B">
        <w:t>. Section VI, I – State whether frequent and multiple request</w:t>
      </w:r>
      <w:r w:rsidR="00A66B26">
        <w:t>s</w:t>
      </w:r>
      <w:r w:rsidR="00265D7B">
        <w:t xml:space="preserve"> will be aggregated.</w:t>
      </w:r>
    </w:p>
    <w:p w:rsidR="00265D7B" w:rsidRDefault="00D46ED2" w:rsidP="00265D7B">
      <w:r>
        <w:t>Complete - ꙱</w:t>
      </w:r>
    </w:p>
    <w:p w:rsidR="00265D7B" w:rsidRDefault="00FF61C0" w:rsidP="00265D7B">
      <w:r>
        <w:t>36</w:t>
      </w:r>
      <w:r w:rsidR="00265D7B">
        <w:t xml:space="preserve">. Section VI, </w:t>
      </w:r>
      <w:proofErr w:type="spellStart"/>
      <w:r w:rsidR="00265D7B">
        <w:t>I.2</w:t>
      </w:r>
      <w:proofErr w:type="spellEnd"/>
      <w:r w:rsidR="00265D7B">
        <w:t xml:space="preserve"> – If not aggregating then delete. If aggregating then describe under Section VI, </w:t>
      </w:r>
      <w:proofErr w:type="spellStart"/>
      <w:r w:rsidR="00265D7B">
        <w:t>I</w:t>
      </w:r>
      <w:r>
        <w:t>.</w:t>
      </w:r>
      <w:r w:rsidR="00265D7B">
        <w:t>2.a</w:t>
      </w:r>
      <w:proofErr w:type="spellEnd"/>
      <w:r w:rsidR="00265D7B">
        <w:t xml:space="preserve"> the level at which requests will be aggregated and under Section VI, </w:t>
      </w:r>
      <w:proofErr w:type="spellStart"/>
      <w:r w:rsidR="00265D7B">
        <w:t>I</w:t>
      </w:r>
      <w:r>
        <w:t>.</w:t>
      </w:r>
      <w:r w:rsidR="00265D7B">
        <w:t>2.c</w:t>
      </w:r>
      <w:proofErr w:type="spellEnd"/>
      <w:r w:rsidR="00265D7B">
        <w:t xml:space="preserve"> list </w:t>
      </w:r>
      <w:r w:rsidR="009D0FB2">
        <w:t>any</w:t>
      </w:r>
      <w:r w:rsidR="00265D7B">
        <w:t xml:space="preserve"> records which will be excluded from aggregation.</w:t>
      </w:r>
    </w:p>
    <w:p w:rsidR="00265D7B" w:rsidRPr="00E941FC" w:rsidRDefault="00D46ED2" w:rsidP="00265D7B">
      <w:r>
        <w:t>Complete - ꙱</w:t>
      </w:r>
    </w:p>
    <w:sectPr w:rsidR="00265D7B" w:rsidRPr="00E9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84A4B"/>
    <w:multiLevelType w:val="hybridMultilevel"/>
    <w:tmpl w:val="61FC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408D6"/>
    <w:multiLevelType w:val="hybridMultilevel"/>
    <w:tmpl w:val="4C908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635A8"/>
    <w:multiLevelType w:val="hybridMultilevel"/>
    <w:tmpl w:val="A82E6B7A"/>
    <w:lvl w:ilvl="0" w:tplc="6BB0D7F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27589"/>
    <w:multiLevelType w:val="hybridMultilevel"/>
    <w:tmpl w:val="F22C2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FC"/>
    <w:rsid w:val="00036AE2"/>
    <w:rsid w:val="00040030"/>
    <w:rsid w:val="00082A90"/>
    <w:rsid w:val="000C7F11"/>
    <w:rsid w:val="00122AC5"/>
    <w:rsid w:val="00234C9B"/>
    <w:rsid w:val="00265D7B"/>
    <w:rsid w:val="002A44FA"/>
    <w:rsid w:val="002E3F84"/>
    <w:rsid w:val="00336DCF"/>
    <w:rsid w:val="003A350D"/>
    <w:rsid w:val="003F2373"/>
    <w:rsid w:val="004005A4"/>
    <w:rsid w:val="0040081B"/>
    <w:rsid w:val="00443CB6"/>
    <w:rsid w:val="00447993"/>
    <w:rsid w:val="004D72BF"/>
    <w:rsid w:val="004E3B25"/>
    <w:rsid w:val="00504581"/>
    <w:rsid w:val="005369D7"/>
    <w:rsid w:val="00611FFA"/>
    <w:rsid w:val="006C4DBB"/>
    <w:rsid w:val="006E6BCF"/>
    <w:rsid w:val="00712852"/>
    <w:rsid w:val="00750C89"/>
    <w:rsid w:val="008D773B"/>
    <w:rsid w:val="008E4534"/>
    <w:rsid w:val="009145D3"/>
    <w:rsid w:val="009D0FB2"/>
    <w:rsid w:val="00A66B26"/>
    <w:rsid w:val="00C00604"/>
    <w:rsid w:val="00C3422B"/>
    <w:rsid w:val="00C363AE"/>
    <w:rsid w:val="00C745FE"/>
    <w:rsid w:val="00D46ED2"/>
    <w:rsid w:val="00E42C18"/>
    <w:rsid w:val="00E941FC"/>
    <w:rsid w:val="00ED2256"/>
    <w:rsid w:val="00EF0A2C"/>
    <w:rsid w:val="00F1328E"/>
    <w:rsid w:val="00FE2EC1"/>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FA47E-38DC-4005-B90C-57B55BDA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FC"/>
    <w:pPr>
      <w:ind w:left="720"/>
      <w:contextualSpacing/>
    </w:pPr>
  </w:style>
  <w:style w:type="paragraph" w:styleId="BalloonText">
    <w:name w:val="Balloon Text"/>
    <w:basedOn w:val="Normal"/>
    <w:link w:val="BalloonTextChar"/>
    <w:uiPriority w:val="99"/>
    <w:semiHidden/>
    <w:unhideWhenUsed/>
    <w:rsid w:val="00447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Metzger, Jeffrey Michael</dc:creator>
  <cp:keywords/>
  <dc:description/>
  <cp:lastModifiedBy>Metzger, Jeffrey Michael</cp:lastModifiedBy>
  <cp:revision>19</cp:revision>
  <cp:lastPrinted>2017-02-03T15:27:00Z</cp:lastPrinted>
  <dcterms:created xsi:type="dcterms:W3CDTF">2017-01-25T14:38:00Z</dcterms:created>
  <dcterms:modified xsi:type="dcterms:W3CDTF">2017-02-03T17:25:00Z</dcterms:modified>
</cp:coreProperties>
</file>